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6B1C" w14:textId="3D916956" w:rsidR="00315398" w:rsidRDefault="00E13DB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видеоконкурс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ассоциированных школ ЮНЕСКО: этнокультурное наследие и охрана окружающей среды</w:t>
      </w:r>
    </w:p>
    <w:p w14:paraId="6CA7F13A" w14:textId="77777777" w:rsidR="00315398" w:rsidRDefault="0031539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DE3908" w14:textId="77777777" w:rsidR="00315398" w:rsidRDefault="00E13DB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Международной экологической акции «Спасти и сохранить» в онлайн формате 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22 мая по 6 октября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проходит </w:t>
      </w:r>
      <w:r>
        <w:rPr>
          <w:rFonts w:ascii="Times New Roman" w:hAnsi="Times New Roman"/>
          <w:sz w:val="28"/>
          <w:szCs w:val="28"/>
        </w:rPr>
        <w:t xml:space="preserve">Международный </w:t>
      </w:r>
      <w:proofErr w:type="spellStart"/>
      <w:r>
        <w:rPr>
          <w:rFonts w:ascii="Times New Roman" w:hAnsi="Times New Roman"/>
          <w:sz w:val="28"/>
          <w:szCs w:val="28"/>
        </w:rPr>
        <w:t>видеоконкурс</w:t>
      </w:r>
      <w:proofErr w:type="spellEnd"/>
      <w:r>
        <w:rPr>
          <w:rFonts w:ascii="Times New Roman" w:hAnsi="Times New Roman"/>
          <w:sz w:val="28"/>
          <w:szCs w:val="28"/>
        </w:rPr>
        <w:t xml:space="preserve"> ассоциированных школ ЮНЕСКО: этнокультурное наследие и охрана окружающей среды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3E9E3B" w14:textId="77777777" w:rsidR="00315398" w:rsidRDefault="00E13DB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Созданная в 1953 г., сеть </w:t>
      </w:r>
      <w:r>
        <w:rPr>
          <w:rFonts w:ascii="Times New Roman" w:eastAsia="Calibri" w:hAnsi="Times New Roman" w:cs="Times New Roman"/>
          <w:sz w:val="28"/>
          <w:szCs w:val="28"/>
        </w:rPr>
        <w:t>ассоциированных школ ЮНЕСКО объединяет около 11,5 тыс. образовательных учреждений из 182 стран мира. Россия, включившаяся в движение ассоциированных школ ЮНЕСКО в 1966 г., – один из наиболее активных участников всемирной сети.</w:t>
      </w:r>
    </w:p>
    <w:p w14:paraId="0E490B5D" w14:textId="77777777" w:rsidR="00315398" w:rsidRDefault="00E13DB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Ханты-Мансийском автономном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округе – Югре в настоящее время</w:t>
      </w:r>
      <w:r>
        <w:rPr>
          <w:rFonts w:ascii="Times New Roman" w:eastAsia="Calibri" w:hAnsi="Times New Roman" w:cs="Times New Roman"/>
          <w:sz w:val="28"/>
          <w:szCs w:val="28"/>
        </w:rPr>
        <w:br/>
        <w:t>4 школы входят в сеть ассоциированных школ.</w:t>
      </w:r>
    </w:p>
    <w:p w14:paraId="2345B5AB" w14:textId="77777777" w:rsidR="00315398" w:rsidRDefault="00E13DB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проводимая в рамках акции «Спасти и сохранить» конференция Ассоциированных школ ЮНЕСКО с 2020 года ввиду пандемии проводится в формате онлайн-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видеоконкурса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 с 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конкурсом предусмотрена специальная номинация для учащихся образовательных организаций, не входящих в сеть ассоциированных школ.</w:t>
      </w:r>
    </w:p>
    <w:p w14:paraId="44573484" w14:textId="77777777" w:rsidR="00315398" w:rsidRDefault="00E13D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Конкурса – вовлечение учащихся школ в решение проблем по сохранению природного и культурного наследия в регионах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и международного сотрудничества.</w:t>
      </w:r>
    </w:p>
    <w:p w14:paraId="60868C29" w14:textId="77777777" w:rsidR="00315398" w:rsidRDefault="00E13D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задачи Конкурса:</w:t>
      </w:r>
    </w:p>
    <w:p w14:paraId="24BBE36D" w14:textId="77777777" w:rsidR="00315398" w:rsidRDefault="00E13D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новых творческих форм в раскрытии темы экологии, охраны окружающей среды;</w:t>
      </w:r>
    </w:p>
    <w:p w14:paraId="5710A0F7" w14:textId="77777777" w:rsidR="00315398" w:rsidRDefault="00E13D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опыта межрегиональных и международных молодежных объединений в природоохран</w:t>
      </w:r>
      <w:r>
        <w:rPr>
          <w:rFonts w:ascii="Times New Roman" w:eastAsia="Calibri" w:hAnsi="Times New Roman" w:cs="Times New Roman"/>
          <w:sz w:val="28"/>
          <w:szCs w:val="28"/>
        </w:rPr>
        <w:t>ной деятельности.</w:t>
      </w:r>
    </w:p>
    <w:p w14:paraId="33FC11CD" w14:textId="77777777" w:rsidR="00315398" w:rsidRDefault="00E13D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 от Ассоциированных школ ЮНЕСКО представляют видеоролики по следующим номинациям:</w:t>
      </w:r>
    </w:p>
    <w:p w14:paraId="6843B8CA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«Обь-Иртышский бассейн: молодежь изучает и сохраняет природное и культурное наследие в регионах великих рек мира»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сохранения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предотвращения загрязнения рек</w:t>
      </w:r>
      <w:r>
        <w:rPr>
          <w:rFonts w:ascii="Times New Roman" w:hAnsi="Times New Roman"/>
          <w:sz w:val="28"/>
          <w:szCs w:val="28"/>
        </w:rPr>
        <w:t xml:space="preserve"> Обь-Иртышского бассейна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берегов);</w:t>
      </w:r>
    </w:p>
    <w:p w14:paraId="09151CFD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«Сохраним реки мира»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сохранения и предотвращения загрязнения рек и их берегов);</w:t>
      </w:r>
    </w:p>
    <w:p w14:paraId="0A05D634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«Живая планета» (проекты в сфере охраны природы, устойчивого развития);</w:t>
      </w:r>
    </w:p>
    <w:p w14:paraId="1CF73686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«Мы вместе. Одна планета – одно будущее» (международное взаимодействие в реализации экологических проектов);</w:t>
      </w:r>
    </w:p>
    <w:p w14:paraId="52F37DE8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«Культура регионов великих рек» (проекты по сохранению объектов культурного наследия);</w:t>
      </w:r>
    </w:p>
    <w:p w14:paraId="62321534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«Сад дружбы» (проекты по </w:t>
      </w:r>
      <w:r>
        <w:rPr>
          <w:rFonts w:ascii="Times New Roman" w:hAnsi="Times New Roman"/>
          <w:sz w:val="28"/>
          <w:szCs w:val="28"/>
          <w:shd w:val="clear" w:color="auto" w:fill="FBFBFB"/>
        </w:rPr>
        <w:t>вопросам экологии, восстановлению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сохранению лесов);</w:t>
      </w:r>
    </w:p>
    <w:p w14:paraId="3664699F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«Сохранение самобытности этнокультурного наследия в современных условиях» (проекты по сохранению нематериального культурного наследия, «живая культура»).</w:t>
      </w:r>
    </w:p>
    <w:p w14:paraId="4534CAA9" w14:textId="77777777" w:rsidR="00315398" w:rsidRDefault="00E13DB6">
      <w:pPr>
        <w:pStyle w:val="af8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образовательных организаций, не входящих в сеть Ассоциированных школ ЮНЕСКО предоставляют видеоролики по следующим номинациям:</w:t>
      </w:r>
    </w:p>
    <w:p w14:paraId="154F7D54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«Река жизни»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сохранению и предотвращению загрязнения великих рек мира и их берегов, проекты в сфере ох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раны природы, устойчивого развития);</w:t>
      </w:r>
    </w:p>
    <w:p w14:paraId="2587C161" w14:textId="77777777" w:rsidR="00315398" w:rsidRDefault="00E13DB6">
      <w:pPr>
        <w:pStyle w:val="af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«Этнокультурное наследие как ценность в жизни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глобализирующегося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общества» (проекты по сохранению нематериального культурного наследия, «живая культура»).</w:t>
      </w:r>
    </w:p>
    <w:p w14:paraId="6412731D" w14:textId="77777777" w:rsidR="00315398" w:rsidRDefault="00E13DB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формируется из представителей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Российской Федерации по делам ЮНЕСКО, исполнительных органов государственной власти автономного округа, представителей средств массовой информации автономного округа, стран-участниц программы «Ассоциированные школы ЮНЕСКО».</w:t>
      </w:r>
    </w:p>
    <w:p w14:paraId="32D70750" w14:textId="77777777" w:rsidR="00315398" w:rsidRDefault="0031539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0517D" w14:textId="77777777" w:rsidR="00315398" w:rsidRDefault="00E13DB6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приема конкурсных раб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</w:p>
    <w:p w14:paraId="048328EB" w14:textId="77777777" w:rsidR="00315398" w:rsidRDefault="00315398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C56044" w14:textId="77777777" w:rsidR="00315398" w:rsidRDefault="00E13DB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Работы принимаются до 22 сентября 2024 года</w:t>
      </w:r>
    </w:p>
    <w:p w14:paraId="4D0AE094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Руководитель-куратор конкурсанта(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направляет подписанную им заявку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требованиями, указанными в разделе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на адреса электронной почты: unescorussia@yandex.ru,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NovikovDA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admhmao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56595F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конкурсные работы не должны нарушать авторские права или иные права интеллектуальной собственности третьих лиц. В случае обнаружения указанных нарушений, представленные конкурсные работы до участия в Конкурсе не допускаются. </w:t>
      </w:r>
    </w:p>
    <w:p w14:paraId="4CAF4F8D" w14:textId="77777777" w:rsidR="00315398" w:rsidRDefault="00E13DB6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Руководите</w:t>
      </w:r>
      <w:r>
        <w:rPr>
          <w:rFonts w:eastAsia="Times New Roman"/>
          <w:color w:val="auto"/>
          <w:sz w:val="28"/>
          <w:szCs w:val="28"/>
        </w:rPr>
        <w:t xml:space="preserve">ль-куратор конкурсанта, подавший заявку, </w:t>
      </w:r>
      <w:r>
        <w:rPr>
          <w:color w:val="auto"/>
          <w:sz w:val="28"/>
          <w:szCs w:val="28"/>
        </w:rPr>
        <w:t>обязуются содействовать в разрешении претензий третьих лиц в случае предъявления таких претензий к организаторам Конкурса в связи с опубликованием Конкурсной работы и в полном объеме возместить все убытки в случае в</w:t>
      </w:r>
      <w:r>
        <w:rPr>
          <w:color w:val="auto"/>
          <w:sz w:val="28"/>
          <w:szCs w:val="28"/>
        </w:rPr>
        <w:t xml:space="preserve">ыявления факта нарушения авторских прав. </w:t>
      </w:r>
    </w:p>
    <w:p w14:paraId="7C8BBD58" w14:textId="77777777" w:rsidR="00315398" w:rsidRDefault="00E13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Конкурсные работы, присланные для участия в</w:t>
      </w:r>
      <w:r>
        <w:rPr>
          <w:rFonts w:ascii="Times New Roman" w:hAnsi="Times New Roman"/>
          <w:sz w:val="28"/>
          <w:szCs w:val="28"/>
        </w:rPr>
        <w:t xml:space="preserve"> Конкурсе, могут быть отклонены от участия в следующих случаях: несоответствия Конкурсной работы тематике Конкурса или заявленной номинации; работы коммерческого, рекламного характера, оскверняющие геральдические символы, содержащие негативную составляющую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17EBD31B" w14:textId="77777777" w:rsidR="00315398" w:rsidRDefault="00E13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эротической составляющей, а также содержания изображений, в которых можно распознать элементы насилия, расовой или религиозной непримиримости;</w:t>
      </w:r>
    </w:p>
    <w:p w14:paraId="4D0E6948" w14:textId="77777777" w:rsidR="00315398" w:rsidRDefault="00E13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элементов пропаганды употребления (распространения) алкогольных напитков, табачных</w:t>
      </w:r>
      <w:r>
        <w:rPr>
          <w:rFonts w:ascii="Times New Roman" w:eastAsia="Times New Roman" w:hAnsi="Times New Roman"/>
          <w:sz w:val="28"/>
          <w:szCs w:val="28"/>
        </w:rPr>
        <w:t xml:space="preserve"> изделий, наркотических средств, порочащих честь и достоинство граждан, побуждающих к совершению противоправных действий, жестокости или насилию.</w:t>
      </w:r>
    </w:p>
    <w:p w14:paraId="3CE9CB05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Допущенные к участию в Конкурсе работы размещаются н</w:t>
      </w:r>
      <w:r>
        <w:rPr>
          <w:rFonts w:ascii="Times New Roman" w:eastAsia="Times New Roman" w:hAnsi="Times New Roman"/>
          <w:sz w:val="28"/>
          <w:szCs w:val="28"/>
        </w:rPr>
        <w:t>а сайте конкурса для участия в интернет-голосовании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1E4CD0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оставляемые на Конкурс материалы не рецензируются и не возвращаются.</w:t>
      </w:r>
    </w:p>
    <w:p w14:paraId="5575CB23" w14:textId="77777777" w:rsidR="00315398" w:rsidRDefault="00315398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ED60F" w14:textId="77777777" w:rsidR="00315398" w:rsidRDefault="00E13DB6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конкурсным работам</w:t>
      </w:r>
    </w:p>
    <w:p w14:paraId="2566B6D9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заполнении заявки (приложение к Положению) участником Конкурса указываются обязательные данные о конкурсной работе:</w:t>
      </w:r>
    </w:p>
    <w:p w14:paraId="70815B8D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номинация;</w:t>
      </w:r>
    </w:p>
    <w:p w14:paraId="2DA21D52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конкурсной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оты;</w:t>
      </w:r>
    </w:p>
    <w:p w14:paraId="3F4B983F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автор(ы) (Ф.И.О. полностью);</w:t>
      </w:r>
    </w:p>
    <w:p w14:paraId="521C9156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хронометраж (мин./сек.);</w:t>
      </w:r>
    </w:p>
    <w:p w14:paraId="2D007206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создания конкурсной работы;</w:t>
      </w:r>
    </w:p>
    <w:p w14:paraId="05232B99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краткая аннотация конкурсной работы;</w:t>
      </w:r>
    </w:p>
    <w:p w14:paraId="314C30C6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ссылка для просмотра конкурсной работы на видеохостинге </w:t>
      </w:r>
      <w:r>
        <w:rPr>
          <w:rFonts w:ascii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eastAsia="Times New Roman" w:hAnsi="Times New Roman"/>
          <w:sz w:val="28"/>
          <w:szCs w:val="28"/>
        </w:rPr>
        <w:t xml:space="preserve"> или, при невозможности создать такую ссылку, на файлообменник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ндекс.Диск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Облако Mail.ru и т.д.);</w:t>
      </w:r>
    </w:p>
    <w:p w14:paraId="52F7EB81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школы ЮНЕСКО, адрес;</w:t>
      </w:r>
    </w:p>
    <w:p w14:paraId="0C1289F6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информация.</w:t>
      </w:r>
    </w:p>
    <w:p w14:paraId="3E434A87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видеоролика:</w:t>
      </w:r>
    </w:p>
    <w:p w14:paraId="368F04AB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PEG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4, расширение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1024 х 768.</w:t>
      </w:r>
    </w:p>
    <w:p w14:paraId="27B2F5FB" w14:textId="77777777" w:rsidR="00315398" w:rsidRDefault="00E13DB6">
      <w:pPr>
        <w:pStyle w:val="af8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видеоролика – не менее 3 и не более 4 минут. </w:t>
      </w:r>
    </w:p>
    <w:p w14:paraId="17935A34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Видеоролики на английском языке обязательно должны содержать субтитры на русском языке. </w:t>
      </w:r>
    </w:p>
    <w:p w14:paraId="0AF84354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 размещается </w:t>
      </w:r>
      <w:r>
        <w:rPr>
          <w:rFonts w:ascii="Times New Roman" w:eastAsia="Times New Roman" w:hAnsi="Times New Roman"/>
          <w:sz w:val="28"/>
          <w:szCs w:val="28"/>
        </w:rPr>
        <w:t xml:space="preserve">в сети интернет при помощи видеохостинга </w:t>
      </w:r>
      <w:r>
        <w:rPr>
          <w:rFonts w:ascii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13B9719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 наличии в видеоролик видеор</w:t>
      </w:r>
      <w:r>
        <w:rPr>
          <w:rFonts w:ascii="Times New Roman" w:eastAsia="Times New Roman" w:hAnsi="Times New Roman"/>
          <w:sz w:val="28"/>
          <w:szCs w:val="28"/>
        </w:rPr>
        <w:t>яда содержащего изображение физического лица, к заявке прикладывается согласие на распространения персональных данных (Приложение 4). В случае если возраст участника меньше 18 лет, согласие должно быть подписано законным представителем несовершеннолетнего.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209305" w14:textId="77777777" w:rsidR="00315398" w:rsidRDefault="00E13DB6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содержанию видеоролика:</w:t>
      </w:r>
    </w:p>
    <w:p w14:paraId="7AB4E0E2" w14:textId="77777777" w:rsidR="00315398" w:rsidRDefault="00E13DB6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 деятельности школы или образовательной организации, направлениях и специфике работы;</w:t>
      </w:r>
    </w:p>
    <w:p w14:paraId="0824358A" w14:textId="77777777" w:rsidR="00315398" w:rsidRDefault="00E13DB6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 лицах, представляющих конкурсную работу, личном вкладе участников Конкурса в природоохр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анные, эколого-просветительские, культурные проекты;</w:t>
      </w:r>
    </w:p>
    <w:p w14:paraId="7026B749" w14:textId="77777777" w:rsidR="00315398" w:rsidRDefault="00E13DB6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обозначение и обоснование актуальности проблемы, решаемой в рамках конкурсной работы;</w:t>
      </w:r>
    </w:p>
    <w:p w14:paraId="185268A7" w14:textId="77777777" w:rsidR="00315398" w:rsidRDefault="00E13DB6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и задачи конкурсной работы;</w:t>
      </w:r>
    </w:p>
    <w:p w14:paraId="2C858F55" w14:textId="77777777" w:rsidR="00315398" w:rsidRDefault="00E13DB6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и достигнутые результаты конкурсной работы;</w:t>
      </w:r>
    </w:p>
    <w:p w14:paraId="1AD8805B" w14:textId="77777777" w:rsidR="00315398" w:rsidRDefault="00E13DB6">
      <w:pPr>
        <w:pStyle w:val="af8"/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перспективы реализации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работы.</w:t>
      </w:r>
    </w:p>
    <w:p w14:paraId="7EC0D9AE" w14:textId="77777777" w:rsidR="00315398" w:rsidRDefault="00E13DB6">
      <w:pPr>
        <w:tabs>
          <w:tab w:val="left" w:pos="-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заявки подтверждает согласие участника Конкурса на некоммерческое использование видеоролика, предоставленного на Конкурс, размещения Конкурсной работы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/>
          <w:sz w:val="28"/>
          <w:szCs w:val="28"/>
        </w:rPr>
        <w:t>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6BD202" w14:textId="77777777" w:rsidR="00315398" w:rsidRDefault="0031539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1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D21D" w14:textId="77777777" w:rsidR="00315398" w:rsidRDefault="00E13DB6">
      <w:pPr>
        <w:spacing w:after="0" w:line="240" w:lineRule="auto"/>
      </w:pPr>
      <w:r>
        <w:separator/>
      </w:r>
    </w:p>
  </w:endnote>
  <w:endnote w:type="continuationSeparator" w:id="0">
    <w:p w14:paraId="0633FC19" w14:textId="77777777" w:rsidR="00315398" w:rsidRDefault="00E1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482DA" w14:textId="77777777" w:rsidR="00315398" w:rsidRDefault="00E13DB6">
      <w:pPr>
        <w:spacing w:after="0" w:line="240" w:lineRule="auto"/>
      </w:pPr>
      <w:r>
        <w:separator/>
      </w:r>
    </w:p>
  </w:footnote>
  <w:footnote w:type="continuationSeparator" w:id="0">
    <w:p w14:paraId="3617E90B" w14:textId="77777777" w:rsidR="00315398" w:rsidRDefault="00E1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82A"/>
    <w:multiLevelType w:val="hybridMultilevel"/>
    <w:tmpl w:val="7A5A6A2C"/>
    <w:lvl w:ilvl="0" w:tplc="BC8E35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4A4E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B268F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FC23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F66F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CCAB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54BB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9CA7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1D683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C17B90"/>
    <w:multiLevelType w:val="hybridMultilevel"/>
    <w:tmpl w:val="4BB25252"/>
    <w:lvl w:ilvl="0" w:tplc="74961526">
      <w:start w:val="1"/>
      <w:numFmt w:val="decimal"/>
      <w:lvlText w:val="%1."/>
      <w:lvlJc w:val="left"/>
      <w:pPr>
        <w:ind w:left="1070" w:hanging="360"/>
      </w:pPr>
      <w:rPr>
        <w:rFonts w:eastAsia="Times New Roman" w:cstheme="minorBidi" w:hint="default"/>
      </w:rPr>
    </w:lvl>
    <w:lvl w:ilvl="1" w:tplc="AD0E6D42">
      <w:start w:val="1"/>
      <w:numFmt w:val="lowerLetter"/>
      <w:lvlText w:val="%2."/>
      <w:lvlJc w:val="left"/>
      <w:pPr>
        <w:ind w:left="1789" w:hanging="360"/>
      </w:pPr>
    </w:lvl>
    <w:lvl w:ilvl="2" w:tplc="D9B8E846">
      <w:start w:val="1"/>
      <w:numFmt w:val="lowerRoman"/>
      <w:lvlText w:val="%3."/>
      <w:lvlJc w:val="right"/>
      <w:pPr>
        <w:ind w:left="2509" w:hanging="180"/>
      </w:pPr>
    </w:lvl>
    <w:lvl w:ilvl="3" w:tplc="71E4D40A">
      <w:start w:val="1"/>
      <w:numFmt w:val="decimal"/>
      <w:lvlText w:val="%4."/>
      <w:lvlJc w:val="left"/>
      <w:pPr>
        <w:ind w:left="3229" w:hanging="360"/>
      </w:pPr>
    </w:lvl>
    <w:lvl w:ilvl="4" w:tplc="2BD03D1A">
      <w:start w:val="1"/>
      <w:numFmt w:val="lowerLetter"/>
      <w:lvlText w:val="%5."/>
      <w:lvlJc w:val="left"/>
      <w:pPr>
        <w:ind w:left="3949" w:hanging="360"/>
      </w:pPr>
    </w:lvl>
    <w:lvl w:ilvl="5" w:tplc="62D28C0E">
      <w:start w:val="1"/>
      <w:numFmt w:val="lowerRoman"/>
      <w:lvlText w:val="%6."/>
      <w:lvlJc w:val="right"/>
      <w:pPr>
        <w:ind w:left="4669" w:hanging="180"/>
      </w:pPr>
    </w:lvl>
    <w:lvl w:ilvl="6" w:tplc="637CE892">
      <w:start w:val="1"/>
      <w:numFmt w:val="decimal"/>
      <w:lvlText w:val="%7."/>
      <w:lvlJc w:val="left"/>
      <w:pPr>
        <w:ind w:left="5389" w:hanging="360"/>
      </w:pPr>
    </w:lvl>
    <w:lvl w:ilvl="7" w:tplc="ED26851C">
      <w:start w:val="1"/>
      <w:numFmt w:val="lowerLetter"/>
      <w:lvlText w:val="%8."/>
      <w:lvlJc w:val="left"/>
      <w:pPr>
        <w:ind w:left="6109" w:hanging="360"/>
      </w:pPr>
    </w:lvl>
    <w:lvl w:ilvl="8" w:tplc="E710104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5B56E0"/>
    <w:multiLevelType w:val="hybridMultilevel"/>
    <w:tmpl w:val="34006868"/>
    <w:lvl w:ilvl="0" w:tplc="B6BC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304BE4">
      <w:start w:val="1"/>
      <w:numFmt w:val="lowerLetter"/>
      <w:lvlText w:val="%2."/>
      <w:lvlJc w:val="left"/>
      <w:pPr>
        <w:ind w:left="1800" w:hanging="360"/>
      </w:pPr>
    </w:lvl>
    <w:lvl w:ilvl="2" w:tplc="E126F60E">
      <w:start w:val="1"/>
      <w:numFmt w:val="lowerRoman"/>
      <w:lvlText w:val="%3."/>
      <w:lvlJc w:val="right"/>
      <w:pPr>
        <w:ind w:left="2520" w:hanging="180"/>
      </w:pPr>
    </w:lvl>
    <w:lvl w:ilvl="3" w:tplc="112E7D8A">
      <w:start w:val="1"/>
      <w:numFmt w:val="decimal"/>
      <w:lvlText w:val="%4."/>
      <w:lvlJc w:val="left"/>
      <w:pPr>
        <w:ind w:left="3240" w:hanging="360"/>
      </w:pPr>
    </w:lvl>
    <w:lvl w:ilvl="4" w:tplc="A4B8BAEA">
      <w:start w:val="1"/>
      <w:numFmt w:val="lowerLetter"/>
      <w:lvlText w:val="%5."/>
      <w:lvlJc w:val="left"/>
      <w:pPr>
        <w:ind w:left="3960" w:hanging="360"/>
      </w:pPr>
    </w:lvl>
    <w:lvl w:ilvl="5" w:tplc="59DEF1DC">
      <w:start w:val="1"/>
      <w:numFmt w:val="lowerRoman"/>
      <w:lvlText w:val="%6."/>
      <w:lvlJc w:val="right"/>
      <w:pPr>
        <w:ind w:left="4680" w:hanging="180"/>
      </w:pPr>
    </w:lvl>
    <w:lvl w:ilvl="6" w:tplc="21F4DEBA">
      <w:start w:val="1"/>
      <w:numFmt w:val="decimal"/>
      <w:lvlText w:val="%7."/>
      <w:lvlJc w:val="left"/>
      <w:pPr>
        <w:ind w:left="5400" w:hanging="360"/>
      </w:pPr>
    </w:lvl>
    <w:lvl w:ilvl="7" w:tplc="267E3BF4">
      <w:start w:val="1"/>
      <w:numFmt w:val="lowerLetter"/>
      <w:lvlText w:val="%8."/>
      <w:lvlJc w:val="left"/>
      <w:pPr>
        <w:ind w:left="6120" w:hanging="360"/>
      </w:pPr>
    </w:lvl>
    <w:lvl w:ilvl="8" w:tplc="4A4E1F6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43E43"/>
    <w:multiLevelType w:val="hybridMultilevel"/>
    <w:tmpl w:val="C4349ED4"/>
    <w:lvl w:ilvl="0" w:tplc="B2F021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BF09E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2CB4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8648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4099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1EDF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1CFF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8CC1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6833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DD1D89"/>
    <w:multiLevelType w:val="hybridMultilevel"/>
    <w:tmpl w:val="9EA47456"/>
    <w:lvl w:ilvl="0" w:tplc="A4BEB5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F5407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B1A65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9404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DEB5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4AF6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6E94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02FD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20CC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98"/>
    <w:rsid w:val="00315398"/>
    <w:rsid w:val="00E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EECE"/>
  <w15:docId w15:val="{D0A8EF73-005F-4131-9E04-A406AEAA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Данила Александрович</dc:creator>
  <cp:keywords/>
  <dc:description/>
  <cp:lastModifiedBy>Белянкина Лилия Даниловна</cp:lastModifiedBy>
  <cp:revision>6</cp:revision>
  <dcterms:created xsi:type="dcterms:W3CDTF">2022-09-01T10:15:00Z</dcterms:created>
  <dcterms:modified xsi:type="dcterms:W3CDTF">2024-05-21T05:31:00Z</dcterms:modified>
</cp:coreProperties>
</file>